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988F2" w14:textId="77777777" w:rsidR="00F34C3D" w:rsidRDefault="00F34C3D" w:rsidP="00EE1881">
      <w:pPr>
        <w:pStyle w:val="APAHeader"/>
        <w:rPr>
          <w:rStyle w:val="PageNumber"/>
        </w:rPr>
      </w:pPr>
    </w:p>
    <w:p w14:paraId="79F7A5AB" w14:textId="77777777" w:rsidR="00EE1881" w:rsidRDefault="00EE1881" w:rsidP="00EE1881">
      <w:pPr>
        <w:pStyle w:val="APA"/>
      </w:pPr>
    </w:p>
    <w:p w14:paraId="2C9B97B2" w14:textId="77777777" w:rsidR="00EE1881" w:rsidRDefault="00EE1881" w:rsidP="00EE1881">
      <w:pPr>
        <w:pStyle w:val="APA"/>
      </w:pPr>
    </w:p>
    <w:p w14:paraId="681743D4" w14:textId="77777777" w:rsidR="00EE1881" w:rsidRDefault="00EE1881" w:rsidP="00EE1881">
      <w:pPr>
        <w:pStyle w:val="APA"/>
      </w:pPr>
    </w:p>
    <w:p w14:paraId="5F9216BF" w14:textId="77777777" w:rsidR="00EE1881" w:rsidRDefault="00EE1881" w:rsidP="00EE1881">
      <w:pPr>
        <w:pStyle w:val="APA"/>
      </w:pPr>
    </w:p>
    <w:p w14:paraId="027F8B76" w14:textId="77777777" w:rsidR="00EE1881" w:rsidRPr="00EE1881" w:rsidRDefault="00EE1881" w:rsidP="00EE1881">
      <w:pPr>
        <w:pStyle w:val="APAHeader"/>
      </w:pPr>
      <w:bookmarkStart w:id="0" w:name="bkMainTitle"/>
      <w:r w:rsidRPr="00EE1881">
        <w:t>Evidence and Standards Cheat Sheet</w:t>
      </w:r>
      <w:bookmarkEnd w:id="0"/>
    </w:p>
    <w:p w14:paraId="7215DAD2" w14:textId="3FBFF4A6" w:rsidR="00EE1881" w:rsidRPr="00EE1881" w:rsidRDefault="00EE1881" w:rsidP="00EE1881">
      <w:pPr>
        <w:pStyle w:val="APAHeader"/>
      </w:pPr>
      <w:bookmarkStart w:id="1" w:name="bkMainUserName"/>
      <w:r w:rsidRPr="00EE1881">
        <w:t>Cynthia Marvin, Yasmin Longoria, Ashley De La Cruz, Marie Hunter</w:t>
      </w:r>
      <w:bookmarkEnd w:id="1"/>
      <w:r w:rsidR="00E74CC6">
        <w:t>, Veronica Hernandez</w:t>
      </w:r>
    </w:p>
    <w:p w14:paraId="4B78A9E5" w14:textId="77777777" w:rsidR="00EE1881" w:rsidRPr="00EE1881" w:rsidRDefault="00EE1881" w:rsidP="00EE1881">
      <w:pPr>
        <w:pStyle w:val="APAHeader"/>
      </w:pPr>
      <w:bookmarkStart w:id="2" w:name="bkCourseNum"/>
      <w:r w:rsidRPr="00EE1881">
        <w:t>ACC491</w:t>
      </w:r>
      <w:bookmarkEnd w:id="2"/>
    </w:p>
    <w:p w14:paraId="6F1A8D7B" w14:textId="77777777" w:rsidR="00EE1881" w:rsidRPr="00EE1881" w:rsidRDefault="00EE1881" w:rsidP="00EE1881">
      <w:pPr>
        <w:pStyle w:val="APAHeader"/>
      </w:pPr>
      <w:bookmarkStart w:id="3" w:name="bkDueDate"/>
      <w:r w:rsidRPr="00EE1881">
        <w:t>December 23, 2019</w:t>
      </w:r>
      <w:bookmarkEnd w:id="3"/>
    </w:p>
    <w:p w14:paraId="68B298F9" w14:textId="77777777" w:rsidR="00EE1881" w:rsidRPr="00EE1881" w:rsidRDefault="00EE1881" w:rsidP="00EE1881">
      <w:pPr>
        <w:pStyle w:val="APAHeader"/>
      </w:pPr>
      <w:bookmarkStart w:id="4" w:name="bkFacultyName"/>
      <w:r w:rsidRPr="00EE1881">
        <w:t xml:space="preserve">Michael </w:t>
      </w:r>
      <w:proofErr w:type="spellStart"/>
      <w:r w:rsidRPr="00EE1881">
        <w:t>Melkonian</w:t>
      </w:r>
      <w:bookmarkEnd w:id="4"/>
      <w:proofErr w:type="spellEnd"/>
    </w:p>
    <w:p w14:paraId="26A37AE0" w14:textId="77777777" w:rsidR="00EE1881" w:rsidRDefault="00EE1881" w:rsidP="00EE1881">
      <w:pPr>
        <w:pStyle w:val="APA"/>
        <w:sectPr w:rsidR="00EE1881" w:rsidSect="00EE1881">
          <w:headerReference w:type="default" r:id="rId7"/>
          <w:headerReference w:type="first" r:id="rId8"/>
          <w:pgSz w:w="12240" w:h="15840" w:code="1"/>
          <w:pgMar w:top="1440" w:right="1440" w:bottom="1440" w:left="1440" w:header="720" w:footer="720" w:gutter="0"/>
          <w:cols w:space="720"/>
          <w:titlePg/>
          <w:docGrid w:linePitch="360"/>
        </w:sectPr>
      </w:pPr>
    </w:p>
    <w:p w14:paraId="68ADA4DC" w14:textId="77777777" w:rsidR="00EE1881" w:rsidRPr="00EE1881" w:rsidRDefault="00EE1881" w:rsidP="00EE1881">
      <w:pPr>
        <w:pStyle w:val="APAHeader"/>
      </w:pPr>
      <w:r>
        <w:br w:type="page"/>
      </w:r>
      <w:bookmarkStart w:id="7" w:name="bkFirstPageTitle"/>
      <w:r w:rsidRPr="00EE1881">
        <w:t>Evidence and Standards Cheat Sheet</w:t>
      </w:r>
      <w:bookmarkEnd w:id="7"/>
    </w:p>
    <w:p w14:paraId="1F0CB026" w14:textId="77777777" w:rsidR="00EE1881" w:rsidRPr="00EE1881" w:rsidRDefault="00EE1881" w:rsidP="00EE1881">
      <w:pPr>
        <w:pStyle w:val="APA"/>
        <w:rPr>
          <w:rFonts w:eastAsia="Times New Roman"/>
        </w:rPr>
      </w:pPr>
      <w:r w:rsidRPr="00EE1881">
        <w:rPr>
          <w:rFonts w:eastAsia="Times New Roman"/>
        </w:rPr>
        <w:t>Understanding the importance of collecting the right type of data will help in the audit process.  This cheat sheet will guide the audit team in the right direction. There are different methods and sample sizes to consider when collecting data.  Data can be physical or observed.  No matter which methods used the evidence must be reliable and have relevance.</w:t>
      </w:r>
    </w:p>
    <w:p w14:paraId="44CE629E" w14:textId="77777777" w:rsidR="00EE1881" w:rsidRPr="00EE1881" w:rsidRDefault="00EE1881" w:rsidP="00EE1881">
      <w:pPr>
        <w:pStyle w:val="APA"/>
        <w:ind w:firstLine="0"/>
        <w:rPr>
          <w:b/>
        </w:rPr>
      </w:pPr>
      <w:r w:rsidRPr="00EE1881">
        <w:rPr>
          <w:b/>
          <w:bCs/>
        </w:rPr>
        <w:t>Comparison of Audit, Scientific and Legal Evidence Standards</w:t>
      </w:r>
      <w:r w:rsidRPr="00EE1881">
        <w:t>.</w:t>
      </w:r>
    </w:p>
    <w:p w14:paraId="3CAA25CF" w14:textId="77777777" w:rsidR="00EE1881" w:rsidRPr="00EE1881" w:rsidRDefault="00EE1881" w:rsidP="00EE1881">
      <w:pPr>
        <w:pStyle w:val="APA"/>
        <w:rPr>
          <w:bCs/>
        </w:rPr>
      </w:pPr>
      <w:r w:rsidRPr="00EE1881">
        <w:rPr>
          <w:bCs/>
        </w:rPr>
        <w:t xml:space="preserve">      Audit evidence is necessary to support the opinion an auditor gives in the audit reports.  This is </w:t>
      </w:r>
      <w:proofErr w:type="gramStart"/>
      <w:r w:rsidRPr="00EE1881">
        <w:rPr>
          <w:bCs/>
        </w:rPr>
        <w:t>similar to</w:t>
      </w:r>
      <w:proofErr w:type="gramEnd"/>
      <w:r w:rsidRPr="00EE1881">
        <w:rPr>
          <w:bCs/>
        </w:rPr>
        <w:t xml:space="preserve"> legal evidence needed in a court case or the evidence needed to prove a hypothesis in a scientific experiment.  Collecting and proving evidence in an audit requires the same diligence one would have in a legal or scientific case.   Evidence in all three situations must be reliable and relevant.  </w:t>
      </w:r>
    </w:p>
    <w:p w14:paraId="66794AF1" w14:textId="77777777" w:rsidR="00EE1881" w:rsidRPr="00EE1881" w:rsidRDefault="00EE1881" w:rsidP="00EE1881">
      <w:pPr>
        <w:pStyle w:val="APA"/>
        <w:rPr>
          <w:bCs/>
        </w:rPr>
      </w:pPr>
      <w:r w:rsidRPr="00EE1881">
        <w:rPr>
          <w:bCs/>
        </w:rPr>
        <w:t xml:space="preserve">Reliable evidence must come from a trusted source. Reliable evidence is important for audit, legal, and scientific standards. A lawyer would not take a case to court without reliable evidence to reach the objective of a guilty verdict. A hypothesis in a scientific experiment cannot be proven without reliable evidence and an auditor cannot make an opinion on the financial statements with unreliable evidence.    </w:t>
      </w:r>
    </w:p>
    <w:p w14:paraId="563CEA19" w14:textId="75392487" w:rsidR="00EE1881" w:rsidRDefault="00EE1881" w:rsidP="00EE1881">
      <w:pPr>
        <w:pStyle w:val="APA"/>
        <w:rPr>
          <w:bCs/>
        </w:rPr>
      </w:pPr>
      <w:r w:rsidRPr="00EE1881">
        <w:rPr>
          <w:bCs/>
        </w:rPr>
        <w:t xml:space="preserve">Evidence must be relevant as well.  This is true for audit, legal and scientific evidence. The evidence collected must be in-line with the control being tested, or the case being tried.  </w:t>
      </w:r>
      <w:proofErr w:type="gramStart"/>
      <w:r w:rsidRPr="00EE1881">
        <w:rPr>
          <w:bCs/>
        </w:rPr>
        <w:t>It is clear that an</w:t>
      </w:r>
      <w:proofErr w:type="gramEnd"/>
      <w:r w:rsidRPr="00EE1881">
        <w:rPr>
          <w:bCs/>
        </w:rPr>
        <w:t xml:space="preserve"> auditor, lawyer, and a scientist have very similar standards and goals when it comes to the collection of evidence.</w:t>
      </w:r>
    </w:p>
    <w:p w14:paraId="2C3B505F" w14:textId="7A8713C4" w:rsidR="00E74CC6" w:rsidRDefault="00E74CC6" w:rsidP="00EE1881">
      <w:pPr>
        <w:pStyle w:val="APA"/>
        <w:rPr>
          <w:bCs/>
        </w:rPr>
      </w:pPr>
    </w:p>
    <w:p w14:paraId="5C3186CD" w14:textId="77777777" w:rsidR="00E74CC6" w:rsidRPr="005C3669" w:rsidRDefault="00E74CC6" w:rsidP="00E74CC6">
      <w:pPr>
        <w:spacing w:after="100" w:line="480" w:lineRule="auto"/>
        <w:rPr>
          <w:rFonts w:ascii="Times New Roman" w:hAnsi="Times New Roman"/>
          <w:b/>
          <w:sz w:val="24"/>
          <w:szCs w:val="24"/>
        </w:rPr>
      </w:pPr>
      <w:r w:rsidRPr="005C3669">
        <w:rPr>
          <w:rFonts w:ascii="Times New Roman" w:hAnsi="Times New Roman"/>
          <w:b/>
          <w:sz w:val="24"/>
          <w:szCs w:val="24"/>
        </w:rPr>
        <w:t>Cheat Sheet</w:t>
      </w:r>
    </w:p>
    <w:p w14:paraId="730D58CF" w14:textId="77777777" w:rsidR="00E74CC6" w:rsidRPr="005C3669" w:rsidRDefault="00E74CC6" w:rsidP="00E74CC6">
      <w:pPr>
        <w:spacing w:after="100" w:line="480" w:lineRule="auto"/>
        <w:rPr>
          <w:rFonts w:ascii="Times New Roman" w:hAnsi="Times New Roman"/>
          <w:sz w:val="24"/>
          <w:szCs w:val="24"/>
        </w:rPr>
      </w:pPr>
      <w:r w:rsidRPr="005C3669">
        <w:rPr>
          <w:rFonts w:ascii="Times New Roman" w:hAnsi="Times New Roman"/>
          <w:sz w:val="24"/>
          <w:szCs w:val="24"/>
        </w:rPr>
        <w:t xml:space="preserve">Audit evidence is described as a proof that is derived from a financial audit process which is then recorded in audit working papers. In the process of audit reappointment stage, the audit evidence entails the information that an auditor considers for engagement into the engagement. </w:t>
      </w:r>
    </w:p>
    <w:p w14:paraId="62150471" w14:textId="77777777" w:rsidR="00E74CC6" w:rsidRPr="005C3669" w:rsidRDefault="00E74CC6" w:rsidP="00E74CC6">
      <w:pPr>
        <w:spacing w:after="100" w:line="480" w:lineRule="auto"/>
        <w:rPr>
          <w:rFonts w:ascii="Times New Roman" w:hAnsi="Times New Roman"/>
          <w:b/>
          <w:sz w:val="24"/>
          <w:szCs w:val="24"/>
        </w:rPr>
      </w:pPr>
      <w:r w:rsidRPr="005C3669">
        <w:rPr>
          <w:rFonts w:ascii="Times New Roman" w:hAnsi="Times New Roman"/>
          <w:b/>
          <w:sz w:val="24"/>
          <w:szCs w:val="24"/>
        </w:rPr>
        <w:t xml:space="preserve">Consideration of sample sizes </w:t>
      </w:r>
    </w:p>
    <w:p w14:paraId="5B585E02" w14:textId="77777777" w:rsidR="00E74CC6" w:rsidRPr="005C3669" w:rsidRDefault="00E74CC6" w:rsidP="00E74CC6">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Random method</w:t>
      </w:r>
    </w:p>
    <w:p w14:paraId="681B4F56" w14:textId="77777777" w:rsidR="00E74CC6" w:rsidRPr="005C3669" w:rsidRDefault="00E74CC6" w:rsidP="00E74CC6">
      <w:pPr>
        <w:spacing w:after="100" w:line="480" w:lineRule="auto"/>
        <w:rPr>
          <w:rFonts w:ascii="Times New Roman" w:hAnsi="Times New Roman"/>
          <w:sz w:val="24"/>
          <w:szCs w:val="24"/>
        </w:rPr>
      </w:pPr>
      <w:r w:rsidRPr="005C3669">
        <w:rPr>
          <w:rFonts w:ascii="Times New Roman" w:hAnsi="Times New Roman"/>
          <w:sz w:val="24"/>
          <w:szCs w:val="24"/>
        </w:rPr>
        <w:t xml:space="preserve">Random sampling is a technique that factors representation above all things. In this method, every item that is in the population of interest stands an equal chance of being selected into the sample using random table numbers or generators. The method is preferred in the event of a population that has similar and homogenous characteristics. </w:t>
      </w:r>
    </w:p>
    <w:p w14:paraId="7ABF838F" w14:textId="77777777" w:rsidR="00E74CC6" w:rsidRPr="005C3669" w:rsidRDefault="00E74CC6" w:rsidP="00E74CC6">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 xml:space="preserve">Haphazard Sampling </w:t>
      </w:r>
    </w:p>
    <w:p w14:paraId="202705AE" w14:textId="77777777" w:rsidR="00E74CC6" w:rsidRPr="005C3669" w:rsidRDefault="00E74CC6" w:rsidP="00E74CC6">
      <w:pPr>
        <w:spacing w:after="100" w:line="480" w:lineRule="auto"/>
        <w:rPr>
          <w:rFonts w:ascii="Times New Roman" w:hAnsi="Times New Roman"/>
          <w:sz w:val="24"/>
          <w:szCs w:val="24"/>
        </w:rPr>
      </w:pPr>
      <w:r w:rsidRPr="005C3669">
        <w:rPr>
          <w:rFonts w:ascii="Times New Roman" w:hAnsi="Times New Roman"/>
          <w:sz w:val="24"/>
          <w:szCs w:val="24"/>
        </w:rPr>
        <w:t xml:space="preserve">This method is not statistical. It has been preferred by auditors to simulate random samples whenever testing the status of errors in accounting populations. Like random sampling, it is used when the populations are homogenous. </w:t>
      </w:r>
    </w:p>
    <w:p w14:paraId="14119A16" w14:textId="77777777" w:rsidR="00E74CC6" w:rsidRPr="005C3669" w:rsidRDefault="00E74CC6" w:rsidP="00E74CC6">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 xml:space="preserve">Monetary unit sampling </w:t>
      </w:r>
    </w:p>
    <w:p w14:paraId="0251087A" w14:textId="77777777" w:rsidR="00E74CC6" w:rsidRPr="005C3669" w:rsidRDefault="00E74CC6" w:rsidP="00E74CC6">
      <w:pPr>
        <w:spacing w:after="100" w:line="480" w:lineRule="auto"/>
        <w:rPr>
          <w:rFonts w:ascii="Times New Roman" w:hAnsi="Times New Roman"/>
          <w:sz w:val="24"/>
          <w:szCs w:val="24"/>
        </w:rPr>
      </w:pPr>
      <w:r w:rsidRPr="005C3669">
        <w:rPr>
          <w:rFonts w:ascii="Times New Roman" w:hAnsi="Times New Roman"/>
          <w:sz w:val="24"/>
          <w:szCs w:val="24"/>
        </w:rPr>
        <w:t xml:space="preserve">Another name for this method is probability proportional to size. Some people also refer to dollar unit sampling. This method is utilized by auditing firms to establish the accuracy of financial statements. Practically, a dollar in a single transaction represents a separate sampling unit. For instance, if a transaction has 450 USD, that implies that 450 sampling units will be present for that sampling technique. </w:t>
      </w:r>
    </w:p>
    <w:p w14:paraId="79BED28F" w14:textId="77777777" w:rsidR="00E74CC6" w:rsidRPr="005C3669" w:rsidRDefault="00E74CC6" w:rsidP="00E74CC6">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 xml:space="preserve">Judgmental sampling </w:t>
      </w:r>
    </w:p>
    <w:p w14:paraId="28A0B888" w14:textId="77777777" w:rsidR="00E74CC6" w:rsidRPr="005C3669" w:rsidRDefault="00E74CC6" w:rsidP="00E74CC6">
      <w:pPr>
        <w:spacing w:after="100" w:line="480" w:lineRule="auto"/>
        <w:rPr>
          <w:rFonts w:ascii="Times New Roman" w:hAnsi="Times New Roman"/>
          <w:sz w:val="24"/>
          <w:szCs w:val="24"/>
        </w:rPr>
      </w:pPr>
      <w:r w:rsidRPr="005C3669">
        <w:rPr>
          <w:rFonts w:ascii="Times New Roman" w:hAnsi="Times New Roman"/>
          <w:sz w:val="24"/>
          <w:szCs w:val="24"/>
        </w:rPr>
        <w:t xml:space="preserve">This is a non-probability sampling technique whereby the auditing firm selects a sample guided by their professionalism and experience. This technique is more subjective when compared to the other methods </w:t>
      </w:r>
      <w:proofErr w:type="gramStart"/>
      <w:r w:rsidRPr="005C3669">
        <w:rPr>
          <w:rFonts w:ascii="Times New Roman" w:hAnsi="Times New Roman"/>
          <w:sz w:val="24"/>
          <w:szCs w:val="24"/>
        </w:rPr>
        <w:t>afore-discussed</w:t>
      </w:r>
      <w:proofErr w:type="gramEnd"/>
      <w:r w:rsidRPr="005C3669">
        <w:rPr>
          <w:rFonts w:ascii="Times New Roman" w:hAnsi="Times New Roman"/>
          <w:sz w:val="24"/>
          <w:szCs w:val="24"/>
        </w:rPr>
        <w:t xml:space="preserve">. </w:t>
      </w:r>
    </w:p>
    <w:p w14:paraId="38D3F846" w14:textId="77777777" w:rsidR="00E74CC6" w:rsidRPr="005C3669" w:rsidRDefault="00E74CC6" w:rsidP="00E74CC6">
      <w:pPr>
        <w:spacing w:after="100" w:line="480" w:lineRule="auto"/>
        <w:rPr>
          <w:rFonts w:ascii="Times New Roman" w:hAnsi="Times New Roman"/>
          <w:b/>
          <w:sz w:val="24"/>
          <w:szCs w:val="24"/>
        </w:rPr>
      </w:pPr>
      <w:r w:rsidRPr="005C3669">
        <w:rPr>
          <w:rFonts w:ascii="Times New Roman" w:hAnsi="Times New Roman"/>
          <w:b/>
          <w:sz w:val="24"/>
          <w:szCs w:val="24"/>
        </w:rPr>
        <w:t xml:space="preserve">How sampling affects evidence </w:t>
      </w:r>
    </w:p>
    <w:p w14:paraId="0D8E9124" w14:textId="4EF70AD6" w:rsidR="00571658" w:rsidRPr="00E74CC6" w:rsidRDefault="00E74CC6" w:rsidP="00E74CC6">
      <w:pPr>
        <w:spacing w:after="100" w:line="480" w:lineRule="auto"/>
        <w:rPr>
          <w:rFonts w:ascii="Times New Roman" w:hAnsi="Times New Roman"/>
          <w:sz w:val="24"/>
          <w:szCs w:val="24"/>
        </w:rPr>
      </w:pPr>
      <w:r w:rsidRPr="005C3669">
        <w:rPr>
          <w:rFonts w:ascii="Times New Roman" w:hAnsi="Times New Roman"/>
          <w:sz w:val="24"/>
          <w:szCs w:val="24"/>
        </w:rPr>
        <w:t>Sampling risk is among the biggest risks that auditors are likely to face during their process of conducting audit sampling. This means that sampling compromises on evidence. The size of the sample is one of the factors that has effects on evidence. A larger sample size means more evidence since representation is good. The larger the sample size, the more accurate the information is likely to be and so is the evidence. The other way that sampling affects evidence is the objectivity of the sampling process. Methods and techniques that are more subjective give evidence that is wrong. Objective sampling methods give evidence that is true and good.</w:t>
      </w:r>
      <w:bookmarkStart w:id="8" w:name="_GoBack"/>
      <w:bookmarkEnd w:id="8"/>
    </w:p>
    <w:p w14:paraId="79EDA628" w14:textId="3162C2B5" w:rsidR="00EE1881" w:rsidRDefault="00EE1881" w:rsidP="00EE1881">
      <w:pPr>
        <w:pStyle w:val="APA"/>
        <w:ind w:firstLine="0"/>
        <w:rPr>
          <w:b/>
        </w:rPr>
      </w:pPr>
      <w:r w:rsidRPr="00EE1881">
        <w:rPr>
          <w:b/>
        </w:rPr>
        <w:t>Consideration of Sample Sizes and Methods and how sampling affects evidence.</w:t>
      </w:r>
    </w:p>
    <w:p w14:paraId="188E4699" w14:textId="77777777" w:rsidR="000A38D9" w:rsidRDefault="00571658" w:rsidP="00EE1881">
      <w:pPr>
        <w:pStyle w:val="APA"/>
        <w:ind w:firstLine="0"/>
        <w:rPr>
          <w:bCs/>
        </w:rPr>
      </w:pPr>
      <w:r w:rsidRPr="000A38D9">
        <w:rPr>
          <w:bCs/>
        </w:rPr>
        <w:t xml:space="preserve">The size of the sample depends on the </w:t>
      </w:r>
      <w:r w:rsidR="000A38D9" w:rsidRPr="000A38D9">
        <w:rPr>
          <w:bCs/>
        </w:rPr>
        <w:t xml:space="preserve">audit risk. </w:t>
      </w:r>
      <w:r w:rsidR="000A38D9">
        <w:rPr>
          <w:bCs/>
        </w:rPr>
        <w:t xml:space="preserve">The higher the risk the larger the sample size. </w:t>
      </w:r>
    </w:p>
    <w:p w14:paraId="4851C878" w14:textId="61DA136C" w:rsidR="00C227E0" w:rsidRDefault="00FD6A68" w:rsidP="00C227E0">
      <w:pPr>
        <w:pStyle w:val="APA"/>
        <w:ind w:firstLine="0"/>
        <w:rPr>
          <w:b/>
          <w:bCs/>
        </w:rPr>
      </w:pPr>
      <w:r>
        <w:rPr>
          <w:bCs/>
        </w:rPr>
        <w:t xml:space="preserve">The amount of evidence needed to make an opinion on the financial statements vary from company to company.  The auditor must determine the correct amount for the audit being performed.  Procedures are laid out in steps for the auditor to follow. The auditor will decide on a population from the sample and perform the testing on the selected population.  </w:t>
      </w:r>
    </w:p>
    <w:p w14:paraId="2D0C4E02" w14:textId="048471E6" w:rsidR="00EE1881" w:rsidRDefault="00C227E0" w:rsidP="00C227E0">
      <w:pPr>
        <w:pStyle w:val="APA"/>
        <w:ind w:firstLine="0"/>
        <w:rPr>
          <w:b/>
          <w:bCs/>
        </w:rPr>
      </w:pPr>
      <w:r w:rsidRPr="00C227E0">
        <w:rPr>
          <w:b/>
          <w:bCs/>
        </w:rPr>
        <w:t>Relevance, Reliability and Sufficiency of Evidence</w:t>
      </w:r>
    </w:p>
    <w:p w14:paraId="2517B77D" w14:textId="7959EA75" w:rsidR="00EE1881" w:rsidRDefault="00C227E0" w:rsidP="00C227E0">
      <w:pPr>
        <w:shd w:val="clear" w:color="auto" w:fill="FFFFFF"/>
        <w:spacing w:before="100" w:beforeAutospacing="1" w:after="100" w:afterAutospacing="1" w:line="480" w:lineRule="auto"/>
        <w:ind w:firstLine="720"/>
        <w:rPr>
          <w:b/>
        </w:rPr>
      </w:pPr>
      <w:bookmarkStart w:id="9" w:name="_Hlk28024250"/>
      <w:r>
        <w:rPr>
          <w:rFonts w:ascii="Times New Roman" w:eastAsia="Times New Roman" w:hAnsi="Times New Roman"/>
          <w:bCs/>
          <w:color w:val="000000"/>
          <w:sz w:val="24"/>
          <w:szCs w:val="24"/>
        </w:rPr>
        <w:t xml:space="preserve">The relevance, reliability and sufficiency of evidence is determined by reviewing the </w:t>
      </w:r>
      <w:bookmarkEnd w:id="9"/>
      <w:r>
        <w:rPr>
          <w:rFonts w:ascii="Times New Roman" w:eastAsia="Times New Roman" w:hAnsi="Times New Roman"/>
          <w:bCs/>
          <w:color w:val="000000"/>
          <w:sz w:val="24"/>
          <w:szCs w:val="24"/>
        </w:rPr>
        <w:t xml:space="preserve">evidence that is provided by the sample of the population. Relevance means that the evidence is addresses the assertion.  For example, looking at physical inventory confirms the inventory existence but doesn’t address the disclosure assertion.  On the other hand, evidence reliability is trusted evidence that is collected because evidence has been collected through trusted sources.  The sample size is used comparative </w:t>
      </w:r>
      <w:r>
        <w:rPr>
          <w:rStyle w:val="qa-interaction-thread-content"/>
          <w:rFonts w:ascii="Times New Roman" w:hAnsi="Times New Roman"/>
          <w:sz w:val="24"/>
          <w:szCs w:val="24"/>
        </w:rPr>
        <w:t>to the population is a factor which affects the relevance, reliability and adequacy of audit evidence.</w:t>
      </w:r>
    </w:p>
    <w:p w14:paraId="606CE574" w14:textId="77777777" w:rsidR="00EE1881" w:rsidRPr="00EE1881" w:rsidRDefault="00EE1881" w:rsidP="00EE1881">
      <w:pPr>
        <w:pStyle w:val="APA"/>
        <w:ind w:firstLine="0"/>
        <w:rPr>
          <w:b/>
        </w:rPr>
      </w:pPr>
      <w:r w:rsidRPr="00EE1881">
        <w:rPr>
          <w:b/>
        </w:rPr>
        <w:t>Types of Audit Evidence</w:t>
      </w:r>
    </w:p>
    <w:p w14:paraId="4CAB8076" w14:textId="77777777" w:rsidR="00EE1881" w:rsidRPr="00EE1881" w:rsidRDefault="00EE1881" w:rsidP="00EE1881">
      <w:pPr>
        <w:pStyle w:val="APA"/>
        <w:rPr>
          <w:bCs/>
        </w:rPr>
      </w:pPr>
      <w:r w:rsidRPr="00EE1881">
        <w:rPr>
          <w:bCs/>
        </w:rPr>
        <w:t xml:space="preserve">To give a brief statement on the different types of audit evidence, one could break it down to just a few. Physical examination is the inspection by the auditor with tangible assets. The most often associated with physical examination is inventory and cash, but it can also apply to verification of securities, notes receivable and tangible fixed assets. There is also conformation which involves the receipt of a direct written response by a third party. Another audit is documentation which is audit review of a client’s documents and records. A few more audits are analytical procedures, inquiries of the client, recalculation, reperformance, and observation.     </w:t>
      </w:r>
    </w:p>
    <w:p w14:paraId="6A6C093A" w14:textId="77777777" w:rsidR="00EE1881" w:rsidRPr="00EE1881" w:rsidRDefault="00EE1881" w:rsidP="00EE1881">
      <w:pPr>
        <w:pStyle w:val="APA"/>
        <w:ind w:firstLine="0"/>
        <w:rPr>
          <w:b/>
        </w:rPr>
      </w:pPr>
      <w:r w:rsidRPr="00EE1881">
        <w:rPr>
          <w:b/>
        </w:rPr>
        <w:t>Purpose, Ownership, Confidentiality and Retention of Documentation.</w:t>
      </w:r>
    </w:p>
    <w:p w14:paraId="4DAAF885" w14:textId="77777777" w:rsidR="00EE1881" w:rsidRPr="00EE1881" w:rsidRDefault="00EE1881" w:rsidP="00EE1881">
      <w:pPr>
        <w:pStyle w:val="APA"/>
        <w:ind w:firstLine="0"/>
      </w:pPr>
      <w:r w:rsidRPr="00EE1881">
        <w:rPr>
          <w:b/>
        </w:rPr>
        <w:t xml:space="preserve">Purpose - </w:t>
      </w:r>
      <w:r w:rsidRPr="00EE1881">
        <w:t xml:space="preserve">Audit Evidence plays an important role during the audit process and evidence is often the key to determining whether the financial statements issued are free from any misstatements.  An auditor not only has to plan and perform the audit but also must obtain appropriate evidence that either supports or disproves the audit opinion formed by the auditor.  It is important to verify that the audit evidence is of high quality in order to determine the appropriate risk level of material misstatements and level of relevance and reliability of the data.  The information presented that supports the opinions reached should be well documented along with the conclusions and procedures completed so the auditors have supporting documentation to prove the audit was conducted according to auditing standards.  </w:t>
      </w:r>
    </w:p>
    <w:p w14:paraId="330CE939" w14:textId="77777777" w:rsidR="00EE1881" w:rsidRPr="00EE1881" w:rsidRDefault="00EE1881" w:rsidP="00EE1881">
      <w:pPr>
        <w:pStyle w:val="APA"/>
        <w:ind w:firstLine="0"/>
      </w:pPr>
      <w:r w:rsidRPr="00EE1881">
        <w:rPr>
          <w:b/>
        </w:rPr>
        <w:t xml:space="preserve">Ownership </w:t>
      </w:r>
      <w:r w:rsidRPr="00EE1881">
        <w:t xml:space="preserve">– Any evidence collected during the process of the audit becomes the property of the auditor.  During the audit, clients do not have an option to review any evidence or documents collected by the auditors unless the auditor decides to share the evidence with the client.  An exception to this would be </w:t>
      </w:r>
      <w:proofErr w:type="gramStart"/>
      <w:r w:rsidRPr="00EE1881">
        <w:t>in regards to</w:t>
      </w:r>
      <w:proofErr w:type="gramEnd"/>
      <w:r w:rsidRPr="00EE1881">
        <w:t xml:space="preserve"> a subpoena- the documents that are subpoenaed by a court becomes legal evidence which the client can then view.  These documents will be stored by the auditors their firm and must be properly documented according to the previously established retention policy set by the auditing standards.</w:t>
      </w:r>
    </w:p>
    <w:p w14:paraId="115C008F" w14:textId="77777777" w:rsidR="00EE1881" w:rsidRPr="00EE1881" w:rsidRDefault="00EE1881" w:rsidP="00EE1881">
      <w:pPr>
        <w:pStyle w:val="APA"/>
        <w:ind w:firstLine="0"/>
      </w:pPr>
      <w:r w:rsidRPr="00EE1881">
        <w:rPr>
          <w:b/>
        </w:rPr>
        <w:t>Confidentiality</w:t>
      </w:r>
      <w:r w:rsidRPr="00EE1881">
        <w:t xml:space="preserve"> – During the planning and processing of the audit, the auditor will be reviewing private information in order to gain knowledge about the nature of the client’s business and processes.  The auditor is required to carry out their job effective and efficiently using any and all evidential information gathered to further their audit and </w:t>
      </w:r>
      <w:proofErr w:type="gramStart"/>
      <w:r w:rsidRPr="00EE1881">
        <w:t>come to a conclusion</w:t>
      </w:r>
      <w:proofErr w:type="gramEnd"/>
      <w:r w:rsidRPr="00EE1881">
        <w:t xml:space="preserve"> however any confidential information obtain should not be disclose without the client’s prior consent.  The auditor is required to safeguard the confidential information to make sure unauthorized individuals don’t have access to it at any time.  Information that is considered confidential would be employee’s salaries, personnel files, and other pertinent human resource documents.  </w:t>
      </w:r>
    </w:p>
    <w:p w14:paraId="118E210E" w14:textId="77777777" w:rsidR="00EE1881" w:rsidRPr="00EE1881" w:rsidRDefault="00EE1881" w:rsidP="00EE1881">
      <w:pPr>
        <w:pStyle w:val="APA"/>
        <w:ind w:firstLine="0"/>
      </w:pPr>
      <w:r w:rsidRPr="00EE1881">
        <w:rPr>
          <w:b/>
        </w:rPr>
        <w:t xml:space="preserve">Retention of Documentation – </w:t>
      </w:r>
      <w:r w:rsidRPr="00EE1881">
        <w:rPr>
          <w:bCs/>
        </w:rPr>
        <w:t>The au</w:t>
      </w:r>
      <w:r w:rsidRPr="00EE1881">
        <w:t xml:space="preserve">dit files gathered during the audit process are expected to be maintained for several years.  Audit standards dictate private companies audit files be maintained for no less than five years while SOX states for public companies it should be kept for no less than seven years.  Destroying these documents prior to the retention period expiring is considered a criminal offense.  </w:t>
      </w:r>
    </w:p>
    <w:p w14:paraId="689A82AE" w14:textId="36FD609E" w:rsidR="00EE1881" w:rsidRDefault="00EE1881" w:rsidP="00EE1881">
      <w:pPr>
        <w:pStyle w:val="APA"/>
      </w:pPr>
      <w:r>
        <w:br/>
      </w:r>
      <w:r>
        <w:br/>
      </w:r>
    </w:p>
    <w:p w14:paraId="4E9B4D9D" w14:textId="5A425D05" w:rsidR="00EE1881" w:rsidRPr="00EE1881" w:rsidRDefault="00EE1881" w:rsidP="00EE1881">
      <w:pPr>
        <w:pStyle w:val="APAHeader"/>
      </w:pPr>
      <w:r>
        <w:br w:type="page"/>
      </w:r>
      <w:bookmarkStart w:id="10" w:name="bkReference"/>
      <w:r w:rsidRPr="00EE1881">
        <w:t>Reference</w:t>
      </w:r>
      <w:bookmarkEnd w:id="10"/>
    </w:p>
    <w:p w14:paraId="40FBB7E9" w14:textId="1201466E" w:rsidR="00EE1881" w:rsidRDefault="00EE1881" w:rsidP="00EE1881">
      <w:pPr>
        <w:pStyle w:val="APAReference"/>
      </w:pPr>
      <w:bookmarkStart w:id="11" w:name="refBk_0"/>
      <w:proofErr w:type="spellStart"/>
      <w:r w:rsidRPr="00EE1881">
        <w:t>Arens</w:t>
      </w:r>
      <w:proofErr w:type="spellEnd"/>
      <w:r w:rsidRPr="00EE1881">
        <w:t xml:space="preserve">, A. A., Elder, R. J., &amp; Beasley, M. S. (2014). </w:t>
      </w:r>
      <w:r w:rsidRPr="00EE1881">
        <w:rPr>
          <w:i/>
        </w:rPr>
        <w:t>Auditing and Assurance Services:  An Integrated Approach</w:t>
      </w:r>
      <w:r w:rsidRPr="00EE1881">
        <w:t xml:space="preserve"> (15th ed.). Upper Saddle River, NJ: Pearson.</w:t>
      </w:r>
      <w:bookmarkEnd w:id="11"/>
    </w:p>
    <w:p w14:paraId="351619D7" w14:textId="77777777" w:rsidR="00EE1881" w:rsidRPr="00EE1881" w:rsidRDefault="00EE1881" w:rsidP="00EE1881">
      <w:pPr>
        <w:pStyle w:val="APAReference"/>
      </w:pPr>
    </w:p>
    <w:sectPr w:rsidR="00EE1881" w:rsidRPr="00EE1881" w:rsidSect="00EE1881">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D3F77" w14:textId="77777777" w:rsidR="007B2AD5" w:rsidRDefault="007B2AD5">
      <w:r>
        <w:separator/>
      </w:r>
    </w:p>
  </w:endnote>
  <w:endnote w:type="continuationSeparator" w:id="0">
    <w:p w14:paraId="7E3E49B3" w14:textId="77777777" w:rsidR="007B2AD5" w:rsidRDefault="007B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4D168" w14:textId="77777777" w:rsidR="007B2AD5" w:rsidRDefault="007B2AD5">
      <w:r>
        <w:separator/>
      </w:r>
    </w:p>
  </w:footnote>
  <w:footnote w:type="continuationSeparator" w:id="0">
    <w:p w14:paraId="2B7A1381" w14:textId="77777777" w:rsidR="007B2AD5" w:rsidRDefault="007B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EE1881" w14:paraId="25E25D69" w14:textId="77777777" w:rsidTr="00EE1881">
      <w:tc>
        <w:tcPr>
          <w:tcW w:w="4500" w:type="pct"/>
          <w:shd w:val="clear" w:color="auto" w:fill="auto"/>
        </w:tcPr>
        <w:p w14:paraId="71D2258D" w14:textId="77777777" w:rsidR="00EE1881" w:rsidRPr="00EE1881" w:rsidRDefault="00EE1881" w:rsidP="00EE1881">
          <w:pPr>
            <w:pStyle w:val="Header"/>
          </w:pPr>
          <w:bookmarkStart w:id="5" w:name="bkRunningHead"/>
          <w:r w:rsidRPr="00EE1881">
            <w:t>EVIDENCE AND STANDARDS CHEAT SHEET</w:t>
          </w:r>
          <w:bookmarkEnd w:id="5"/>
        </w:p>
      </w:tc>
      <w:tc>
        <w:tcPr>
          <w:tcW w:w="2500" w:type="pct"/>
          <w:shd w:val="clear" w:color="auto" w:fill="auto"/>
        </w:tcPr>
        <w:p w14:paraId="25F779B3" w14:textId="77777777" w:rsidR="00EE1881" w:rsidRDefault="00EE1881" w:rsidP="00EE1881">
          <w:pPr>
            <w:pStyle w:val="Header"/>
            <w:jc w:val="right"/>
          </w:pPr>
          <w:r>
            <w:t xml:space="preserve"> </w:t>
          </w:r>
          <w:r>
            <w:fldChar w:fldCharType="begin"/>
          </w:r>
          <w:r>
            <w:instrText xml:space="preserve"> PAGE  \* MERGEFORMAT </w:instrText>
          </w:r>
          <w:r>
            <w:fldChar w:fldCharType="separate"/>
          </w:r>
          <w:r>
            <w:rPr>
              <w:noProof/>
            </w:rPr>
            <w:t>2</w:t>
          </w:r>
          <w:r>
            <w:fldChar w:fldCharType="end"/>
          </w:r>
        </w:p>
        <w:p w14:paraId="22049C06" w14:textId="77777777" w:rsidR="00EE1881" w:rsidRDefault="00EE1881" w:rsidP="00EE1881">
          <w:pPr>
            <w:pStyle w:val="Header"/>
          </w:pPr>
        </w:p>
      </w:tc>
    </w:tr>
  </w:tbl>
  <w:p w14:paraId="782646B4" w14:textId="77777777" w:rsidR="00EE1881" w:rsidRPr="00EE1881" w:rsidRDefault="00EE1881" w:rsidP="00EE1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EE1881" w14:paraId="255D50EA" w14:textId="77777777" w:rsidTr="00EE1881">
      <w:tc>
        <w:tcPr>
          <w:tcW w:w="4500" w:type="pct"/>
          <w:shd w:val="clear" w:color="auto" w:fill="auto"/>
        </w:tcPr>
        <w:p w14:paraId="38FB284F" w14:textId="77777777" w:rsidR="00EE1881" w:rsidRPr="00EE1881" w:rsidRDefault="00EE1881" w:rsidP="00EE1881">
          <w:pPr>
            <w:pStyle w:val="Header"/>
          </w:pPr>
          <w:bookmarkStart w:id="6" w:name="bkTitleRunningHead"/>
          <w:r w:rsidRPr="00EE1881">
            <w:t>Running head: EVIDENCE AND STANDARDS CHEAT SHEET</w:t>
          </w:r>
          <w:bookmarkEnd w:id="6"/>
        </w:p>
      </w:tc>
      <w:tc>
        <w:tcPr>
          <w:tcW w:w="2500" w:type="pct"/>
          <w:shd w:val="clear" w:color="auto" w:fill="auto"/>
        </w:tcPr>
        <w:p w14:paraId="164634A5" w14:textId="77777777" w:rsidR="00EE1881" w:rsidRDefault="00EE1881" w:rsidP="00EE1881">
          <w:pPr>
            <w:pStyle w:val="Header"/>
            <w:jc w:val="right"/>
          </w:pPr>
          <w:r>
            <w:t xml:space="preserve"> </w:t>
          </w:r>
          <w:r>
            <w:fldChar w:fldCharType="begin"/>
          </w:r>
          <w:r>
            <w:instrText xml:space="preserve"> PAGE  \* MERGEFORMAT </w:instrText>
          </w:r>
          <w:r>
            <w:fldChar w:fldCharType="separate"/>
          </w:r>
          <w:r>
            <w:rPr>
              <w:noProof/>
            </w:rPr>
            <w:t>1</w:t>
          </w:r>
          <w:r>
            <w:fldChar w:fldCharType="end"/>
          </w:r>
        </w:p>
        <w:p w14:paraId="1E5E5E88" w14:textId="77777777" w:rsidR="00EE1881" w:rsidRDefault="00EE1881" w:rsidP="00EE1881">
          <w:pPr>
            <w:pStyle w:val="Header"/>
          </w:pPr>
        </w:p>
      </w:tc>
    </w:tr>
  </w:tbl>
  <w:p w14:paraId="07F5DBC1" w14:textId="77777777" w:rsidR="00EE1881" w:rsidRPr="00EE1881" w:rsidRDefault="00EE1881" w:rsidP="00EE1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115B6"/>
    <w:multiLevelType w:val="hybridMultilevel"/>
    <w:tmpl w:val="F12EF2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stract" w:val="0"/>
    <w:docVar w:name="CreditedName" w:val="Cynthia Marvin, Veronica Hernandez, Yasmin Longoria, Ashley De La Cruz, Marie Hunter"/>
    <w:docVar w:name="IncludeRunningHead" w:val="-1"/>
    <w:docVar w:name="OpenYesNo" w:val="0"/>
    <w:docVar w:name="reference_000" w:val="Arens, A. A.‡, Elder, R. J.‡, &amp; Beasley, M. S.‡ (2014). ‡«Auditing and Assurance Services:  An Integrated Approach»‡ (15th ed.). ‡Upper Saddle River‡, NJ: ‡Pearson.‡(Arens, Elder,  &amp; Beasley, 2014)‡"/>
    <w:docVar w:name="toItalics" w:val="«Auditing and Assurance Services:  An Integrated Approach»‡"/>
  </w:docVars>
  <w:rsids>
    <w:rsidRoot w:val="00EE1881"/>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A38D9"/>
    <w:rsid w:val="000A5A6A"/>
    <w:rsid w:val="000D203E"/>
    <w:rsid w:val="000D4BC7"/>
    <w:rsid w:val="000E683E"/>
    <w:rsid w:val="000F1799"/>
    <w:rsid w:val="000F2663"/>
    <w:rsid w:val="001023C2"/>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6680E"/>
    <w:rsid w:val="0017347F"/>
    <w:rsid w:val="00177751"/>
    <w:rsid w:val="001828A2"/>
    <w:rsid w:val="00192AE3"/>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C0672"/>
    <w:rsid w:val="002D0486"/>
    <w:rsid w:val="002D0B13"/>
    <w:rsid w:val="002D33B9"/>
    <w:rsid w:val="002E21B1"/>
    <w:rsid w:val="002F20F2"/>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5EA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4006CB"/>
    <w:rsid w:val="00405146"/>
    <w:rsid w:val="004220D7"/>
    <w:rsid w:val="004273E9"/>
    <w:rsid w:val="00431BDA"/>
    <w:rsid w:val="00450E5D"/>
    <w:rsid w:val="00465723"/>
    <w:rsid w:val="00480108"/>
    <w:rsid w:val="004933B7"/>
    <w:rsid w:val="004B0EC7"/>
    <w:rsid w:val="004D446B"/>
    <w:rsid w:val="004E2745"/>
    <w:rsid w:val="004E28D6"/>
    <w:rsid w:val="004F28EE"/>
    <w:rsid w:val="004F7B75"/>
    <w:rsid w:val="004F7D50"/>
    <w:rsid w:val="00527090"/>
    <w:rsid w:val="005450B8"/>
    <w:rsid w:val="00552D67"/>
    <w:rsid w:val="005650EB"/>
    <w:rsid w:val="00571658"/>
    <w:rsid w:val="00571769"/>
    <w:rsid w:val="00595228"/>
    <w:rsid w:val="00596D98"/>
    <w:rsid w:val="005B60A0"/>
    <w:rsid w:val="005C4B45"/>
    <w:rsid w:val="005C53D6"/>
    <w:rsid w:val="005D4E87"/>
    <w:rsid w:val="005F2E7E"/>
    <w:rsid w:val="00602CC5"/>
    <w:rsid w:val="00604874"/>
    <w:rsid w:val="00604B02"/>
    <w:rsid w:val="006362A0"/>
    <w:rsid w:val="0064774B"/>
    <w:rsid w:val="006559A3"/>
    <w:rsid w:val="00657B75"/>
    <w:rsid w:val="00661FB3"/>
    <w:rsid w:val="00662178"/>
    <w:rsid w:val="0066695C"/>
    <w:rsid w:val="00673875"/>
    <w:rsid w:val="00677CC4"/>
    <w:rsid w:val="006B099A"/>
    <w:rsid w:val="006B641D"/>
    <w:rsid w:val="006B7334"/>
    <w:rsid w:val="006C40E2"/>
    <w:rsid w:val="006C4BF6"/>
    <w:rsid w:val="006D5770"/>
    <w:rsid w:val="006D6131"/>
    <w:rsid w:val="006E6543"/>
    <w:rsid w:val="006F4222"/>
    <w:rsid w:val="006F793F"/>
    <w:rsid w:val="00712C35"/>
    <w:rsid w:val="00714E61"/>
    <w:rsid w:val="00716DA5"/>
    <w:rsid w:val="00720EE5"/>
    <w:rsid w:val="00727CCF"/>
    <w:rsid w:val="0073339F"/>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2AD5"/>
    <w:rsid w:val="007B5A47"/>
    <w:rsid w:val="007C065D"/>
    <w:rsid w:val="007C18B1"/>
    <w:rsid w:val="007C6B2B"/>
    <w:rsid w:val="007D7478"/>
    <w:rsid w:val="007D772A"/>
    <w:rsid w:val="007E5616"/>
    <w:rsid w:val="007F3400"/>
    <w:rsid w:val="007F34DD"/>
    <w:rsid w:val="007F50D5"/>
    <w:rsid w:val="008055FD"/>
    <w:rsid w:val="00813C1E"/>
    <w:rsid w:val="008150D4"/>
    <w:rsid w:val="008213FF"/>
    <w:rsid w:val="00824C5E"/>
    <w:rsid w:val="0083060C"/>
    <w:rsid w:val="0083233D"/>
    <w:rsid w:val="00835FC8"/>
    <w:rsid w:val="0084039A"/>
    <w:rsid w:val="008445B9"/>
    <w:rsid w:val="008471CA"/>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5992"/>
    <w:rsid w:val="009F59EB"/>
    <w:rsid w:val="00A0014B"/>
    <w:rsid w:val="00A0621A"/>
    <w:rsid w:val="00A116DC"/>
    <w:rsid w:val="00A134A7"/>
    <w:rsid w:val="00A21625"/>
    <w:rsid w:val="00A21BDD"/>
    <w:rsid w:val="00A26D16"/>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B448E"/>
    <w:rsid w:val="00AB4A9E"/>
    <w:rsid w:val="00AC2879"/>
    <w:rsid w:val="00AC4703"/>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27E0"/>
    <w:rsid w:val="00C2578F"/>
    <w:rsid w:val="00C37025"/>
    <w:rsid w:val="00C72BCE"/>
    <w:rsid w:val="00C74AAF"/>
    <w:rsid w:val="00C8128A"/>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74CC6"/>
    <w:rsid w:val="00E81A2F"/>
    <w:rsid w:val="00E87CEF"/>
    <w:rsid w:val="00EA472B"/>
    <w:rsid w:val="00EB2C38"/>
    <w:rsid w:val="00EB6196"/>
    <w:rsid w:val="00EC129F"/>
    <w:rsid w:val="00EC1BBA"/>
    <w:rsid w:val="00EC28A7"/>
    <w:rsid w:val="00ED52FB"/>
    <w:rsid w:val="00EE12AC"/>
    <w:rsid w:val="00EE1881"/>
    <w:rsid w:val="00EE3236"/>
    <w:rsid w:val="00EE3446"/>
    <w:rsid w:val="00EE408C"/>
    <w:rsid w:val="00EF15BA"/>
    <w:rsid w:val="00EF3316"/>
    <w:rsid w:val="00EF473B"/>
    <w:rsid w:val="00EF513E"/>
    <w:rsid w:val="00F0548D"/>
    <w:rsid w:val="00F13EB6"/>
    <w:rsid w:val="00F23B13"/>
    <w:rsid w:val="00F32B85"/>
    <w:rsid w:val="00F34C3D"/>
    <w:rsid w:val="00F42BB9"/>
    <w:rsid w:val="00F55687"/>
    <w:rsid w:val="00F62B52"/>
    <w:rsid w:val="00F64FF3"/>
    <w:rsid w:val="00F65E88"/>
    <w:rsid w:val="00F72369"/>
    <w:rsid w:val="00F7493E"/>
    <w:rsid w:val="00F7629E"/>
    <w:rsid w:val="00F80F9E"/>
    <w:rsid w:val="00F96984"/>
    <w:rsid w:val="00F97852"/>
    <w:rsid w:val="00FA7B51"/>
    <w:rsid w:val="00FB103B"/>
    <w:rsid w:val="00FB25BF"/>
    <w:rsid w:val="00FB3161"/>
    <w:rsid w:val="00FB4535"/>
    <w:rsid w:val="00FD31CB"/>
    <w:rsid w:val="00FD6A68"/>
    <w:rsid w:val="00FF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39343"/>
  <w15:chartTrackingRefBased/>
  <w15:docId w15:val="{4171E25C-8533-4765-A801-74714CB2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27E0"/>
    <w:pPr>
      <w:spacing w:after="160" w:line="259"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customStyle="1" w:styleId="qa-interaction-thread-content">
    <w:name w:val="qa-interaction-thread-content"/>
    <w:rsid w:val="00C227E0"/>
  </w:style>
  <w:style w:type="paragraph" w:styleId="ListParagraph">
    <w:name w:val="List Paragraph"/>
    <w:basedOn w:val="Normal"/>
    <w:uiPriority w:val="34"/>
    <w:qFormat/>
    <w:rsid w:val="00E74CC6"/>
    <w:pPr>
      <w:spacing w:before="100" w:beforeAutospacing="1" w:after="200" w:afterAutospacing="1" w:line="276" w:lineRule="auto"/>
      <w:ind w:left="720" w:firstLine="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ndymrv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1</TotalTime>
  <Pages>1</Pages>
  <Words>1081</Words>
  <Characters>7730</Characters>
  <Application>Microsoft Office Word</Application>
  <DocSecurity>0</DocSecurity>
  <Lines>1288</Lines>
  <Paragraphs>550</Paragraphs>
  <ScaleCrop>false</ScaleCrop>
  <HeadingPairs>
    <vt:vector size="2" baseType="variant">
      <vt:variant>
        <vt:lpstr>Title</vt:lpstr>
      </vt:variant>
      <vt:variant>
        <vt:i4>1</vt:i4>
      </vt:variant>
    </vt:vector>
  </HeadingPairs>
  <TitlesOfParts>
    <vt:vector size="1" baseType="lpstr">
      <vt:lpstr>Evidence and Standards Cheat Sheet</vt:lpstr>
    </vt:vector>
  </TitlesOfParts>
  <Company>Apollogroup</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Standards Cheat Sheet</dc:title>
  <dc:subject>Paper Formatter</dc:subject>
  <dc:creator>Cynthia Marvin, Veronica Hernandez, Yasmin Longoria, Ashley De La Cruz, Marie Hunter</dc:creator>
  <cp:keywords/>
  <cp:lastModifiedBy>Veronica Hernandez</cp:lastModifiedBy>
  <cp:revision>2</cp:revision>
  <dcterms:created xsi:type="dcterms:W3CDTF">2019-12-28T06:42:00Z</dcterms:created>
  <dcterms:modified xsi:type="dcterms:W3CDTF">2019-12-28T06:42:00Z</dcterms:modified>
  <cp:category>School Papers</cp:category>
</cp:coreProperties>
</file>